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22 vom 21. November 2025</w:t>
      </w:r>
    </w:p>
    <w:p>
      <w:r>
        <w:t>GR Gerichte, 2025-11-21, DE</w:t>
      </w:r>
    </w:p>
    <w:p>
      <w:r>
        <w:rPr>
          <w:b/>
        </w:rPr>
        <w:t xml:space="preserve">Quelle: </w:t>
      </w:r>
      <w:r>
        <w:t>https://mcp.opencaselaw.ch/entscheid/gr_gerichte_SR2 2025 22</w:t>
      </w:r>
    </w:p>
    <w:p>
      <w:r>
        <w:t>FR: GR_GERICHTE SR2 2025 22 du 21 novembre 2025</w:t>
      </w:r>
    </w:p>
    <w:p>
      <w:r>
        <w:t>IT: GR_GERICHTE SR2 2025 22 del 21 novembre 2025</w:t>
      </w:r>
    </w:p>
    <w:p>
      <w:pPr>
        <w:pStyle w:val="Heading2"/>
      </w:pPr>
      <w:r>
        <w:t>Regeste</w:t>
      </w:r>
    </w:p>
    <w:p>
      <w:r>
        <w:t>Amtsmissbrauch etc. | Beschwerde gegen StA, Nichtanhandnahmeverfügung StPO 310 (früher Ablehnungsverfügung)</w:t>
      </w:r>
    </w:p>
    <w:p>
      <w:pPr>
        <w:pStyle w:val="Heading2"/>
      </w:pPr>
      <w:r>
        <w:t>Erwägungen</w:t>
      </w:r>
    </w:p>
    <w:p>
      <w:r>
        <w:rPr>
          <w:b/>
        </w:rPr>
        <w:t>E. 4</w:t>
      </w:r>
    </w:p>
    <w:p>
      <w:r>
        <w:t>/ 6 1.2. Die vorliegend angefochtene Nichtanhandnahmeverfügung wurde am 8. April 2025 erlassen und den Parteien am gleichen mitgeteilt. Die Beschwerde datiert vom 18. April 2025 und erweist sich daher als rechtzeitig. 2.1. Gemäss Art. 383 Abs. 1 StPO kann die Verfahrensleitung der Rechtsmittel- instanz die Privatklägerschaft verpflichten, innert einer Frist für allfällige Kosten und Entschädigungen Sicherheit zu leisten. Art. 136 StPO betreffend die unentgeltliche Rechtspflege für die Privatklägerschaft bleibt vorbehalten. Wird die Sicherheit nicht fristgerecht geleistet, so tritt die Rechtsmittelinstanz auf das Rechtsmittel nicht ein (Art. 383 Abs. 2 StPO). Gemäss bundesgerichtlicher Rechtsprechung ist die Sicherheitsleistung nach Art. 383 Abs. 1 StPO an keine Voraussetzungen gebunden, und zwar unbesehen der Frage, ob die Privatklägerschaft ein Rechtsmittel einzig im Strafpunkt oder auch im Zivilpunkt erhebt (BGE 144 IV 17 E. 2.1 m.w.H.; bestätigt in BGer 6B_1144/2020, 6B_1145/2020 v. 12.4.2021 E. 5.1). Die Auferlegung einer Sicherheitsleistung bedarf daher auch keiner besonderen Begründung, solange die verlangte Sicherheitsleistung den Verhältnissen des konkreten Falls angemessen ist (BGer 1B_398/2015 v. 19.5.2016 E. 2.2). 2.2. Nachdem der Beschwerdeführer ein erstes Mal aufgefordert wurde, dem Obergericht eine Sicherheitsleistung in Höhe von CHF 1'500.00 zu bezahlen (vgl. act. D.1), stellte er mit Eingabe vom 5. Mai 2025 ein Gesuch um unentgeltliche Rechtspflege. Mit Verfügung vom 20. Mai 2025 wurde das Gesuch um unentgeltliche Rechtspflege abgewiesen. Auf eine dagegen erhobene Beschwerde trat das Bundesgericht nicht ein (Urteil BGer 7B_568/2025 vom 3. September 2025). Die dadurch rechtskräftig gewordene Abweisung des Gesuchs um unentgeltliche Rechtspflege hat zur Folge, dass einer Sicherheitsleistung gemäss Art. 383 Abs. 1 StPO keine Hindernisse entgegenstehen, zumal die Einforderung einer solchen Sicherheitsleistung an keine weiteren Voraussetzungen geknüpft ist. Der Beschwerdeführer wurde daher mit Verfügung des Vorsitzenden der Zweiten strafrechtlichen Kammer vom 30. September 2025 ein zweites Mal dazu aufgefordert, dem Obergericht eine Sicherheitsleistung in der Höhe von CHF 1'500.00 zu bezahlen (act. D.6). Innert der dabei angesetzten Frist bis zum 13. Oktober 2025 ging die eingeforderte Sicherheitsleistung beim Obergericht nicht ein. Wie in der Verfügung vom 30. September 2025 angedroht, ist daher auf die Beschwerde nicht einzutreten (Art. 383 Abs. 2 StPO). 3. Da sich die Beschwerde nach dem Gesagten als offensichtlich unzulässig erweist, ergeht die vorliegende Entscheidung gestützt auf Art. 18 Abs. 3 GOG (BR 173.000) in einzelrichterlicher Kompetenz.</w:t>
      </w:r>
    </w:p>
    <w:p>
      <w:r>
        <w:rPr>
          <w:b/>
        </w:rPr>
        <w:t>E. 5</w:t>
      </w:r>
    </w:p>
    <w:p>
      <w:r>
        <w:t>/ 6 4. Bei diesem Ausgang sind die Verfahrenskosten gestützt auf Art. 428 Abs. 1 StPO dem Beschwerdeführer aufzuerlegen. Gemäss Art. 8 VGS (BR 350.210) erhebt das Gericht im Beschwerdeverfahren eine Gebühr von CHF 1'000.00 bis 5'000.00. Diese kann in Verfahren nach Art. 18 Abs. 3 GOG nach Ermessen des Gerichts herabgesetzt werden (Art. 10 VGS). In Anwendung dieser Bestimmung rechtfertigt sich vorliegend eine Herabsetzung der Verfahrenskosten auf CHF 500.00. Da keine Stellungnahmen eingeholt wurden (vgl. act. D.2), sind keine Parteientschädigungen zu sprechen.</w:t>
      </w:r>
    </w:p>
    <w:p>
      <w:r>
        <w:rPr>
          <w:b/>
        </w:rPr>
        <w:t>E. 6</w:t>
      </w:r>
    </w:p>
    <w:p>
      <w:r>
        <w:t>/ 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